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rPr>
          <w:color w:val="ff0000"/>
        </w:rPr>
      </w:pPr>
      <w:r w:rsidDel="00000000" w:rsidR="00000000" w:rsidRPr="00000000">
        <w:rPr>
          <w:rFonts w:ascii="Open Sans" w:cs="Open Sans" w:eastAsia="Open Sans" w:hAnsi="Open Sans"/>
          <w:color w:val="ff0000"/>
          <w:rtl w:val="0"/>
        </w:rPr>
        <w:t xml:space="preserve">SAMPLE — PLEASE UPDATE </w:t>
      </w:r>
      <w:r w:rsidDel="00000000" w:rsidR="00000000" w:rsidRPr="00000000">
        <w:rPr>
          <w:rFonts w:ascii="Open Sans" w:cs="Open Sans" w:eastAsia="Open Sans" w:hAnsi="Open Sans"/>
          <w:color w:val="ff0000"/>
          <w:u w:val="single"/>
          <w:rtl w:val="0"/>
        </w:rPr>
        <w:t xml:space="preserve">ACCORDING TO YOUR APPLICABLE TRUST SERVICES CRITERIA</w:t>
      </w:r>
      <w:r w:rsidDel="00000000" w:rsidR="00000000" w:rsidRPr="00000000">
        <w:rPr>
          <w:rFonts w:ascii="Open Sans" w:cs="Open Sans" w:eastAsia="Open Sans" w:hAnsi="Open Sans"/>
          <w:color w:val="ff0000"/>
          <w:rtl w:val="0"/>
        </w:rPr>
        <w:t xml:space="preserve">, COMPANY DETAILS, AND 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240" w:lineRule="auto"/>
        <w:jc w:val="center"/>
        <w:rPr/>
      </w:pPr>
      <w:bookmarkStart w:colFirst="0" w:colLast="0" w:name="_bzsl468wfx92" w:id="0"/>
      <w:bookmarkEnd w:id="0"/>
      <w:r w:rsidDel="00000000" w:rsidR="00000000" w:rsidRPr="00000000">
        <w:rPr>
          <w:rtl w:val="0"/>
        </w:rPr>
        <w:t xml:space="preserve">[Company Name] Has Announced Our Latest SOC 2 and SOC 3 Reports. </w:t>
      </w:r>
      <w:r w:rsidDel="00000000" w:rsidR="00000000" w:rsidRPr="00000000">
        <w:rPr>
          <w:rtl w:val="0"/>
        </w:rPr>
        <w:t xml:space="preserve">Here’s What That Means For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Open Sans" w:cs="Open Sans" w:eastAsia="Open Sans" w:hAnsi="Open Sans"/>
          <w:color w:val="ff00ff"/>
          <w:sz w:val="20"/>
          <w:szCs w:val="20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[COMPANY NAME] recently received our latest SOC 2 and SOC 3 reports. But what do these reports mean for us as an organization—and for you as our customer?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At [COMPANY NAME], keeping customer and stakeholder data secure is our top priority. To ensure that our systems and controls have been designed appropriately to achieve that goal, we sought out third-party attestation from a qualified auditing firm. Our SOC 2 and SOC 3 reports are the result of their examination.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In this blog post, we’ll explain what these reports are, what they cover, and why we chose to undergo this rigorous compliance audit.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pacing w:line="240" w:lineRule="auto"/>
        <w:rPr/>
      </w:pPr>
      <w:bookmarkStart w:colFirst="0" w:colLast="0" w:name="_ha5hrep0xuzn" w:id="1"/>
      <w:bookmarkEnd w:id="1"/>
      <w:r w:rsidDel="00000000" w:rsidR="00000000" w:rsidRPr="00000000">
        <w:rPr>
          <w:rtl w:val="0"/>
        </w:rPr>
        <w:t xml:space="preserve">WHAT IS A SOC 2 REPORT?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Open Sans" w:cs="Open Sans" w:eastAsia="Open Sans" w:hAnsi="Open Sans"/>
          <w:color w:val="ff00ff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Obtaining a System and Organization Controls (SOC) 2 report is one way for a service organization to attest to the security of its digital environment.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Open Sans" w:cs="Open Sans" w:eastAsia="Open Sans" w:hAnsi="Open Sans"/>
          <w:color w:val="ff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Completing a SOC 2 examination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through an accredited third-party auditor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does not result in any certification. Instead, the resulting CPA’s report functions as a tool to help an organization communicate whether the internal controls they’ve put in place governing the security of customers’, partners’, and stakeholders’ data are properly designed, implemented, and maintained.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In simpler terms, a SOC 2 report provides an avenue for current and potential stakeholders to assess risk by giving them a closer look at the policies and procedures put in place to ensure the organization’s services are provided safely and reliably.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WHAT IS A SOC 3 REPORT?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 SOC 3 report is similar in scope to a SOC 2 report,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but the information is packaged more concisely. This makes SOC 3 reports easier to read and a better fit for widespread distribution.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Both reports result from the same audit, and both can help communicate that an organization’s controls are properly designed, implemented, and operating effectively.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Open Sans" w:cs="Open Sans" w:eastAsia="Open Sans" w:hAnsi="Open Sans"/>
          <w:color w:val="676767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spacing w:line="240" w:lineRule="auto"/>
        <w:rPr/>
      </w:pPr>
      <w:bookmarkStart w:colFirst="0" w:colLast="0" w:name="_2p5xo3td5onx" w:id="2"/>
      <w:bookmarkEnd w:id="2"/>
      <w:r w:rsidDel="00000000" w:rsidR="00000000" w:rsidRPr="00000000">
        <w:rPr>
          <w:rtl w:val="0"/>
        </w:rPr>
        <w:t xml:space="preserve">WHAT DO THESE REPORTS COVER?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SOC reports result from an examination performed by an accredited CPA firm under the standards defined by SSAE 18.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An auditor tests the effectiveness of the internal controls outlined by the organization, then maps those controls to one or a combination of Trust Services Criteria established by the </w:t>
      </w:r>
      <w:hyperlink r:id="rId6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American Institute of Certified Public Accountants (AICPA)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In our case, [that criterion includes/those criteria include]: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Open Sans" w:cs="Open Sans" w:eastAsia="Open Sans" w:hAnsi="Open Sans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Security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: The system is protected against unauthorized access (both physical and logical).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Availability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: The system is available for operation and use as committed or agreed.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Processing Integrity: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System processing is complete, valid, accurate, timely, and authorized to meet the entity’s objectives.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Confidentiality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: Information designated as confidential is protected as committed or agreed.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Privacy: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Personal information is collected, used, retained, disclosed, and disposed of to meet the entity’s objectives.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The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scope of a SOC report can also vary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with regard to the time period covered. SOC 2 Type II reports examine controls over a period of time, usually between three and 12 months, and include both a list of the controls tested as well as the auditor’s test results.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The reporting period for [COMPANY NAME]’s most recent SOC 2 and SOC 3 reports spanned from [DATE] to [DATE].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spacing w:line="240" w:lineRule="auto"/>
        <w:rPr/>
      </w:pPr>
      <w:bookmarkStart w:colFirst="0" w:colLast="0" w:name="_1be7tix38sv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spacing w:line="240" w:lineRule="auto"/>
        <w:rPr/>
      </w:pPr>
      <w:bookmarkStart w:colFirst="0" w:colLast="0" w:name="_coegmexsw9vg" w:id="4"/>
      <w:bookmarkEnd w:id="4"/>
      <w:r w:rsidDel="00000000" w:rsidR="00000000" w:rsidRPr="00000000">
        <w:rPr>
          <w:rtl w:val="0"/>
        </w:rPr>
        <w:t xml:space="preserve">WHY DID WE UNDERGO THIS EXAM?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Receiving our SOC 2 and SOC 3 reports marks a huge step forward in [COMPANY NAME]’s efforts to demonstrate our commitment to data security and ensure that we’re prepared to face the challenges of the ever-changing cybersecurity landscape. 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“We are pleased that our SOC 2 and SOC 3 reports have shown we have the appropriate controls in place to mitigate risks related to [INSERT APPLICABLE TRUST SERVICES CRITERIA],” said [COMPANY REPRESENTATIVE NAME AND TITLE]. “[INSERT EXPLANATION OF WHY RELEVANT PRINCIPLES ARE IMPORTANT TO YOUR ORGANIZATION].”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Open Sans" w:cs="Open Sans" w:eastAsia="Open Sans" w:hAnsi="Open Sans"/>
          <w:sz w:val="20"/>
          <w:szCs w:val="20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spacing w:line="240" w:lineRule="auto"/>
        <w:rPr/>
      </w:pPr>
      <w:bookmarkStart w:colFirst="0" w:colLast="0" w:name="_5u5avflmedfd" w:id="5"/>
      <w:bookmarkEnd w:id="5"/>
      <w:r w:rsidDel="00000000" w:rsidR="00000000" w:rsidRPr="00000000">
        <w:rPr>
          <w:rtl w:val="0"/>
        </w:rPr>
        <w:t xml:space="preserve">WHERE CAN I GO FOR MORE INFORMATION?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Our auditing partner, </w:t>
      </w: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BARR Advisory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has provided a </w:t>
      </w: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comprehensive overview of the different types of SOC examinations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and their unique requirements for cloud service organizations.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Open Sans" w:cs="Open Sans" w:eastAsia="Open Sans" w:hAnsi="Open Sans"/>
          <w:color w:val="ff00ff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Current and prospective customers interested in obtaining a copy of [COMPANY NAME]’s latest SOC 2 Type II or SOC 3 reports may contact [NAME] at [PHONE/EMAIL].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4962525</wp:posOffset>
          </wp:positionH>
          <wp:positionV relativeFrom="paragraph">
            <wp:posOffset>228600</wp:posOffset>
          </wp:positionV>
          <wp:extent cx="1442041" cy="4429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2222" l="-15833" r="-10075" t="-13333"/>
                  <a:stretch>
                    <a:fillRect/>
                  </a:stretch>
                </pic:blipFill>
                <pic:spPr>
                  <a:xfrm>
                    <a:off x="0" y="0"/>
                    <a:ext cx="1442041" cy="4429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Open Sans" w:cs="Open Sans" w:eastAsia="Open Sans" w:hAnsi="Open Sans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Open Sans" w:cs="Open Sans" w:eastAsia="Open Sans" w:hAnsi="Open Sans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barradvisory.com/wp-content/uploads/2023/01/A-Complete-Guide-to-SOC-Examinations-A-Proven-Process-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icpa-cima.com/home" TargetMode="External"/><Relationship Id="rId7" Type="http://schemas.openxmlformats.org/officeDocument/2006/relationships/hyperlink" Target="https://www.barradvisory.com/blog/sections-of-a-soc-2-report/" TargetMode="External"/><Relationship Id="rId8" Type="http://schemas.openxmlformats.org/officeDocument/2006/relationships/hyperlink" Target="http://barradvisory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